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TSSW Governance Health Check</w:t>
      </w:r>
    </w:p>
    <w:p/>
    <w:p>
      <w:pPr/>
      <w:r>
        <w:rPr>
          <w:sz w:val="24"/>
          <w:szCs w:val="24"/>
          <w:b w:val="0"/>
          <w:bCs w:val="0"/>
        </w:rPr>
        <w:t xml:space="preserve">A self-assessment tool for charitable organisations.</w:t>
      </w:r>
    </w:p>
    <w:p/>
    <w:p>
      <w:pPr/>
      <w:r>
        <w:rPr>
          <w:sz w:val="24"/>
          <w:szCs w:val="24"/>
          <w:b w:val="0"/>
          <w:bCs w:val="0"/>
        </w:rPr>
        <w:t xml:space="preserve">Good governance is essential to the success of charities and voluntary organisations. It is a vital part of how voluntary sector organisations operate and are held accountable for what they do. This Health Check is based on the latest edition of the UK Charity Governance Code.</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2025-05-09T08:58:01+00:00</dcterms:created>
  <dcterms:modified xsi:type="dcterms:W3CDTF">2025-05-09T08:58:01+00:00</dcterms:modified>
</cp:coreProperties>
</file>

<file path=docProps/custom.xml><?xml version="1.0" encoding="utf-8"?>
<Properties xmlns="http://schemas.openxmlformats.org/officeDocument/2006/custom-properties" xmlns:vt="http://schemas.openxmlformats.org/officeDocument/2006/docPropsVTypes"/>
</file>