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Gwiriad Iechyd Llywodraeth TSSW</w:t>
      </w:r>
    </w:p>
    <w:p/>
    <w:p>
      <w:pPr/>
      <w:r>
        <w:rPr>
          <w:sz w:val="24"/>
          <w:szCs w:val="24"/>
          <w:b w:val="0"/>
          <w:bCs w:val="0"/>
        </w:rPr>
        <w:t xml:space="preserve">Offeryn hunanasesu ar gyfer sefydliadau elusennol.</w:t>
      </w:r>
    </w:p>
    <w:p/>
    <w:p>
      <w:pPr/>
      <w:r>
        <w:rPr>
          <w:sz w:val="24"/>
          <w:szCs w:val="24"/>
          <w:b w:val="0"/>
          <w:bCs w:val="0"/>
        </w:rPr>
        <w:t xml:space="preserve">Mae llywodraethu da yn hanfodol i lwyddiant elusennau a sefydliadau gwirfoddol.
Mae’n rhan hanfodol o sut mae sefydliadau’r sector gwirfoddol yn gweithredu ac yn cael eu dal yn atebol am yr hyn y maent yn ei wneud.
Mae’r Gwiriad Iechyd hwn yn seiliedig ar rifyn diweddaraf Cod Llywodraethu Elusennau’r DU.  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2025-06-24T17:01:53+00:00</dcterms:created>
  <dcterms:modified xsi:type="dcterms:W3CDTF">2025-06-24T17:01:53+00:00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